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CF" w:rsidRPr="004841CF" w:rsidRDefault="004841CF" w:rsidP="004841CF">
      <w:pPr>
        <w:pStyle w:val="stbilgi"/>
        <w:tabs>
          <w:tab w:val="left" w:pos="7215"/>
          <w:tab w:val="center" w:pos="7852"/>
        </w:tabs>
        <w:jc w:val="center"/>
        <w:rPr>
          <w:b/>
          <w:sz w:val="28"/>
          <w:szCs w:val="28"/>
        </w:rPr>
      </w:pPr>
      <w:r w:rsidRPr="004841CF">
        <w:rPr>
          <w:b/>
          <w:sz w:val="28"/>
          <w:szCs w:val="28"/>
        </w:rPr>
        <w:t>T.C.</w:t>
      </w:r>
    </w:p>
    <w:p w:rsidR="004841CF" w:rsidRPr="004841CF" w:rsidRDefault="004841CF" w:rsidP="004841CF">
      <w:pPr>
        <w:pStyle w:val="stbilgi"/>
        <w:jc w:val="center"/>
        <w:rPr>
          <w:b/>
          <w:sz w:val="28"/>
          <w:szCs w:val="28"/>
        </w:rPr>
      </w:pPr>
      <w:r w:rsidRPr="004841CF">
        <w:rPr>
          <w:b/>
          <w:sz w:val="28"/>
          <w:szCs w:val="28"/>
        </w:rPr>
        <w:t>KAVAKLIDERE KAYMAKAMLIĞI</w:t>
      </w:r>
    </w:p>
    <w:p w:rsidR="004841CF" w:rsidRPr="004841CF" w:rsidRDefault="004841CF" w:rsidP="004841CF">
      <w:pPr>
        <w:pStyle w:val="stbilgi"/>
        <w:jc w:val="center"/>
        <w:rPr>
          <w:b/>
          <w:sz w:val="28"/>
          <w:szCs w:val="28"/>
        </w:rPr>
      </w:pPr>
      <w:r w:rsidRPr="004841CF">
        <w:rPr>
          <w:b/>
          <w:sz w:val="28"/>
          <w:szCs w:val="28"/>
        </w:rPr>
        <w:t>Milli Emlak Şefliği</w:t>
      </w:r>
    </w:p>
    <w:p w:rsidR="00677722" w:rsidRDefault="00677722" w:rsidP="004841CF"/>
    <w:p w:rsidR="004841CF" w:rsidRDefault="004841CF" w:rsidP="004841CF">
      <w:pPr>
        <w:shd w:val="clear" w:color="auto" w:fill="FFFFFF"/>
        <w:spacing w:before="269" w:line="269" w:lineRule="exact"/>
        <w:ind w:left="922" w:right="67" w:firstLine="6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Bilindiği üzere; 2/B alanlarında bulunan taşınmazların satışına ilişkin işlemler </w:t>
      </w:r>
      <w:proofErr w:type="gramStart"/>
      <w:r>
        <w:rPr>
          <w:color w:val="000000"/>
          <w:spacing w:val="-2"/>
          <w:sz w:val="24"/>
          <w:szCs w:val="24"/>
        </w:rPr>
        <w:t>19/4/2012</w:t>
      </w:r>
      <w:proofErr w:type="gramEnd"/>
      <w:r>
        <w:rPr>
          <w:color w:val="000000"/>
          <w:spacing w:val="-2"/>
          <w:sz w:val="24"/>
          <w:szCs w:val="24"/>
        </w:rPr>
        <w:t xml:space="preserve"> tarihli ve 6292 sayılı Orman Köylülerinin Kalkınmalarının Desteklenmesi ve Hazine </w:t>
      </w:r>
      <w:r>
        <w:rPr>
          <w:color w:val="000000"/>
          <w:spacing w:val="-1"/>
          <w:sz w:val="24"/>
          <w:szCs w:val="24"/>
        </w:rPr>
        <w:t xml:space="preserve">Adına Orman Sınırları Dışına Çıkarılan Yerlerin Değerlendirilmesi ile Hazineye Ait Tarım </w:t>
      </w:r>
      <w:r>
        <w:rPr>
          <w:color w:val="000000"/>
          <w:spacing w:val="-2"/>
          <w:sz w:val="24"/>
          <w:szCs w:val="24"/>
        </w:rPr>
        <w:t xml:space="preserve">Arazilerinin Satışı Hakkında Kanun kapsamında, Hazineye ait tarım arazilerinin satışına ilişkin </w:t>
      </w:r>
      <w:r>
        <w:rPr>
          <w:color w:val="000000"/>
          <w:sz w:val="24"/>
          <w:szCs w:val="24"/>
        </w:rPr>
        <w:t>işlemler ise 6292 sayılı Kanun ile 29/6/2001 tarihli ve 4706 sayılı Hazineye ait Taşınmaz Malların Değerlendirilmesi ve Katma Değer Vergisi Kanununda Değişiklik Yapılması Hakkında Kanun kapsamında yürütülmektedir.</w:t>
      </w:r>
    </w:p>
    <w:p w:rsidR="004841CF" w:rsidRDefault="004841CF" w:rsidP="004841CF">
      <w:pPr>
        <w:shd w:val="clear" w:color="auto" w:fill="FFFFFF"/>
        <w:spacing w:before="269" w:line="269" w:lineRule="exact"/>
        <w:ind w:left="922" w:right="67" w:firstLine="682"/>
        <w:jc w:val="both"/>
      </w:pPr>
    </w:p>
    <w:p w:rsidR="004841CF" w:rsidRDefault="004841CF" w:rsidP="004841CF">
      <w:pPr>
        <w:shd w:val="clear" w:color="auto" w:fill="FFFFFF"/>
        <w:spacing w:line="269" w:lineRule="exact"/>
        <w:ind w:left="912" w:right="77" w:firstLine="739"/>
        <w:jc w:val="both"/>
      </w:pPr>
      <w:proofErr w:type="gramStart"/>
      <w:r>
        <w:rPr>
          <w:color w:val="000000"/>
          <w:spacing w:val="-1"/>
          <w:sz w:val="24"/>
          <w:szCs w:val="24"/>
        </w:rPr>
        <w:t>15/4/2022</w:t>
      </w:r>
      <w:proofErr w:type="gramEnd"/>
      <w:r>
        <w:rPr>
          <w:color w:val="000000"/>
          <w:spacing w:val="-1"/>
          <w:sz w:val="24"/>
          <w:szCs w:val="24"/>
        </w:rPr>
        <w:t xml:space="preserve"> tarihli ve 31810 sayılı Resmî </w:t>
      </w:r>
      <w:proofErr w:type="spellStart"/>
      <w:r>
        <w:rPr>
          <w:color w:val="000000"/>
          <w:spacing w:val="-1"/>
          <w:sz w:val="24"/>
          <w:szCs w:val="24"/>
        </w:rPr>
        <w:t>Gazete'de</w:t>
      </w:r>
      <w:proofErr w:type="spellEnd"/>
      <w:r>
        <w:rPr>
          <w:color w:val="000000"/>
          <w:spacing w:val="-1"/>
          <w:sz w:val="24"/>
          <w:szCs w:val="24"/>
        </w:rPr>
        <w:t xml:space="preserve"> yayımlanan 8/4/2022 tarihli ve 7394 </w:t>
      </w:r>
      <w:r>
        <w:rPr>
          <w:color w:val="000000"/>
          <w:spacing w:val="-2"/>
          <w:sz w:val="24"/>
          <w:szCs w:val="24"/>
        </w:rPr>
        <w:t xml:space="preserve">sayılı Hazineye Ait Taşınmaz Malların Değerlendirilmesi ve Katma Değer Vergisi Kanununda </w:t>
      </w:r>
      <w:r>
        <w:rPr>
          <w:color w:val="000000"/>
          <w:sz w:val="24"/>
          <w:szCs w:val="24"/>
        </w:rPr>
        <w:t xml:space="preserve">Değişiklik Yapılması Hakkında Kanun </w:t>
      </w:r>
      <w:r>
        <w:rPr>
          <w:color w:val="000000"/>
          <w:spacing w:val="11"/>
          <w:sz w:val="24"/>
          <w:szCs w:val="24"/>
        </w:rPr>
        <w:t>İle</w:t>
      </w:r>
      <w:r>
        <w:rPr>
          <w:color w:val="000000"/>
          <w:sz w:val="24"/>
          <w:szCs w:val="24"/>
        </w:rPr>
        <w:t xml:space="preserve"> Bazı Kanunlarda ve Kanun Hükmünde </w:t>
      </w:r>
      <w:r>
        <w:rPr>
          <w:color w:val="000000"/>
          <w:spacing w:val="-1"/>
          <w:sz w:val="24"/>
          <w:szCs w:val="24"/>
        </w:rPr>
        <w:t>Kararnamelerde Değişiklik Yapılmasına Dair Kanunun geçici 1 inci maddesinde;</w:t>
      </w:r>
    </w:p>
    <w:p w:rsidR="004841CF" w:rsidRDefault="004841CF" w:rsidP="004841CF">
      <w:pPr>
        <w:shd w:val="clear" w:color="auto" w:fill="FFFFFF"/>
        <w:tabs>
          <w:tab w:val="left" w:pos="1997"/>
        </w:tabs>
        <w:spacing w:line="269" w:lineRule="exact"/>
        <w:ind w:left="912" w:right="77" w:firstLine="710"/>
        <w:jc w:val="both"/>
      </w:pPr>
      <w:r>
        <w:rPr>
          <w:i/>
          <w:iCs/>
          <w:color w:val="000000"/>
          <w:spacing w:val="-11"/>
          <w:sz w:val="24"/>
          <w:szCs w:val="24"/>
        </w:rPr>
        <w:t>(1)</w:t>
      </w:r>
      <w:r>
        <w:rPr>
          <w:i/>
          <w:iCs/>
          <w:color w:val="000000"/>
          <w:sz w:val="24"/>
          <w:szCs w:val="24"/>
        </w:rPr>
        <w:tab/>
        <w:t xml:space="preserve">2/B alanlarında bulunan taşınmazların </w:t>
      </w:r>
      <w:proofErr w:type="gramStart"/>
      <w:r>
        <w:rPr>
          <w:i/>
          <w:iCs/>
          <w:color w:val="000000"/>
          <w:sz w:val="24"/>
          <w:szCs w:val="24"/>
        </w:rPr>
        <w:t>19/4/2012</w:t>
      </w:r>
      <w:proofErr w:type="gramEnd"/>
      <w:r>
        <w:rPr>
          <w:i/>
          <w:iCs/>
          <w:color w:val="000000"/>
          <w:sz w:val="24"/>
          <w:szCs w:val="24"/>
        </w:rPr>
        <w:t xml:space="preserve"> tarihli ve 6292 sayılı Orman</w:t>
      </w:r>
      <w:r>
        <w:rPr>
          <w:i/>
          <w:iCs/>
          <w:color w:val="000000"/>
          <w:sz w:val="24"/>
          <w:szCs w:val="24"/>
        </w:rPr>
        <w:br/>
        <w:t>Köylülerinin Kalkınmalarının Desteklenmesi ve Hazine Adına Orman Sınırları Dışına</w:t>
      </w:r>
      <w:r>
        <w:rPr>
          <w:i/>
          <w:iCs/>
          <w:color w:val="000000"/>
          <w:sz w:val="24"/>
          <w:szCs w:val="24"/>
        </w:rPr>
        <w:br/>
        <w:t>Çıkarılan Yerlerin Değerlendirilmesi ile Hazineye Ait Tarım Arazilerinin Satışı Hakkında</w:t>
      </w:r>
      <w:r>
        <w:rPr>
          <w:i/>
          <w:iCs/>
          <w:color w:val="000000"/>
          <w:sz w:val="24"/>
          <w:szCs w:val="24"/>
        </w:rPr>
        <w:br/>
      </w:r>
      <w:r>
        <w:rPr>
          <w:i/>
          <w:iCs/>
          <w:color w:val="000000"/>
          <w:spacing w:val="-2"/>
          <w:sz w:val="24"/>
          <w:szCs w:val="24"/>
        </w:rPr>
        <w:t>Kanun kapsamında, Hazineye ait tarım arazilerinin ise 6292 sayılı Kanun ile 29/6/2001 tarihli</w:t>
      </w:r>
      <w:r>
        <w:rPr>
          <w:i/>
          <w:iCs/>
          <w:color w:val="000000"/>
          <w:spacing w:val="-2"/>
          <w:sz w:val="24"/>
          <w:szCs w:val="24"/>
        </w:rPr>
        <w:br/>
      </w:r>
      <w:r>
        <w:rPr>
          <w:i/>
          <w:iCs/>
          <w:color w:val="000000"/>
          <w:spacing w:val="-1"/>
          <w:sz w:val="24"/>
          <w:szCs w:val="24"/>
        </w:rPr>
        <w:t>ve 4706 sayılı Hazineye Ait Taşınmaz Malların Değerlendirilmesi ve Katma Değer Vergisi</w:t>
      </w:r>
      <w:r>
        <w:rPr>
          <w:i/>
          <w:iCs/>
          <w:color w:val="000000"/>
          <w:spacing w:val="-1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>Kanununda Değişiklik Yapılması Hakkında Kanun kapsamında satışına ilişkin olarak;</w:t>
      </w:r>
    </w:p>
    <w:p w:rsidR="004841CF" w:rsidRDefault="004841CF" w:rsidP="004841CF">
      <w:pPr>
        <w:shd w:val="clear" w:color="auto" w:fill="FFFFFF"/>
        <w:tabs>
          <w:tab w:val="left" w:pos="1872"/>
        </w:tabs>
        <w:spacing w:line="269" w:lineRule="exact"/>
        <w:ind w:left="1622"/>
      </w:pPr>
      <w:r>
        <w:rPr>
          <w:i/>
          <w:iCs/>
          <w:color w:val="000000"/>
          <w:spacing w:val="-15"/>
          <w:sz w:val="24"/>
          <w:szCs w:val="24"/>
        </w:rPr>
        <w:t>a)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pacing w:val="-1"/>
          <w:sz w:val="24"/>
          <w:szCs w:val="24"/>
        </w:rPr>
        <w:t>Süresi içinde başvuru yapmayanların başvuru süresi,</w:t>
      </w:r>
    </w:p>
    <w:p w:rsidR="004841CF" w:rsidRDefault="004841CF" w:rsidP="004841CF">
      <w:pPr>
        <w:numPr>
          <w:ilvl w:val="0"/>
          <w:numId w:val="1"/>
        </w:numPr>
        <w:shd w:val="clear" w:color="auto" w:fill="FFFFFF"/>
        <w:tabs>
          <w:tab w:val="left" w:pos="1910"/>
        </w:tabs>
        <w:spacing w:line="269" w:lineRule="exact"/>
        <w:ind w:left="922" w:right="86" w:firstLine="701"/>
        <w:jc w:val="both"/>
        <w:rPr>
          <w:i/>
          <w:iCs/>
          <w:color w:val="000000"/>
          <w:spacing w:val="-15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Kendilerine yapılan tebligatta belirtilen bedeli süresi içerisinde ödemeyenlerin ödeme süresi,</w:t>
      </w:r>
    </w:p>
    <w:p w:rsidR="004841CF" w:rsidRDefault="004841CF" w:rsidP="004841CF">
      <w:pPr>
        <w:numPr>
          <w:ilvl w:val="0"/>
          <w:numId w:val="1"/>
        </w:numPr>
        <w:shd w:val="clear" w:color="auto" w:fill="FFFFFF"/>
        <w:tabs>
          <w:tab w:val="left" w:pos="1910"/>
        </w:tabs>
        <w:spacing w:line="269" w:lineRule="exact"/>
        <w:ind w:left="922" w:right="86" w:firstLine="701"/>
        <w:jc w:val="both"/>
        <w:rPr>
          <w:i/>
          <w:iCs/>
          <w:color w:val="000000"/>
          <w:spacing w:val="-13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Taksitli satışlarda, sözleşmesinde belirtilen taksitlerden ikiden fazlasını vadesinde ödemeyenlerin ödeme süresi,</w:t>
      </w:r>
    </w:p>
    <w:p w:rsidR="004841CF" w:rsidRDefault="004841CF" w:rsidP="004841CF">
      <w:pPr>
        <w:shd w:val="clear" w:color="auto" w:fill="FFFFFF"/>
        <w:spacing w:line="269" w:lineRule="exact"/>
        <w:ind w:left="1622"/>
      </w:pPr>
      <w:proofErr w:type="gramStart"/>
      <w:r>
        <w:rPr>
          <w:i/>
          <w:iCs/>
          <w:color w:val="000000"/>
          <w:spacing w:val="-1"/>
          <w:sz w:val="24"/>
          <w:szCs w:val="24"/>
        </w:rPr>
        <w:t>31/12/2022</w:t>
      </w:r>
      <w:proofErr w:type="gramEnd"/>
      <w:r>
        <w:rPr>
          <w:i/>
          <w:iCs/>
          <w:color w:val="000000"/>
          <w:spacing w:val="-1"/>
          <w:sz w:val="24"/>
          <w:szCs w:val="24"/>
        </w:rPr>
        <w:t xml:space="preserve"> tarihine kadar uzatılmıştır.</w:t>
      </w:r>
    </w:p>
    <w:p w:rsidR="004841CF" w:rsidRDefault="004841CF" w:rsidP="005941D8">
      <w:pPr>
        <w:shd w:val="clear" w:color="auto" w:fill="FFFFFF"/>
        <w:tabs>
          <w:tab w:val="left" w:pos="1997"/>
        </w:tabs>
        <w:spacing w:line="269" w:lineRule="exact"/>
        <w:ind w:left="912" w:right="58" w:firstLine="710"/>
        <w:jc w:val="both"/>
        <w:rPr>
          <w:i/>
          <w:iCs/>
          <w:color w:val="000000"/>
          <w:spacing w:val="-11"/>
          <w:sz w:val="24"/>
          <w:szCs w:val="24"/>
        </w:rPr>
      </w:pPr>
      <w:r>
        <w:rPr>
          <w:i/>
          <w:iCs/>
          <w:color w:val="000000"/>
          <w:spacing w:val="-10"/>
          <w:sz w:val="24"/>
          <w:szCs w:val="24"/>
        </w:rPr>
        <w:t>(2)</w:t>
      </w:r>
      <w:r>
        <w:rPr>
          <w:i/>
          <w:iCs/>
          <w:color w:val="000000"/>
          <w:sz w:val="24"/>
          <w:szCs w:val="24"/>
        </w:rPr>
        <w:tab/>
        <w:t>Birinci fıkranın (a) bendi kapsamında kalan taşınmazların satış bedeli; bu</w:t>
      </w:r>
      <w:r>
        <w:rPr>
          <w:i/>
          <w:iCs/>
          <w:color w:val="000000"/>
          <w:sz w:val="24"/>
          <w:szCs w:val="24"/>
        </w:rPr>
        <w:br/>
        <w:t>taşınmazlar için ilgili kanunlarda belirtilen başvuru sürelerinin son gününü izleyen üç aylık</w:t>
      </w:r>
      <w:r>
        <w:rPr>
          <w:i/>
          <w:iCs/>
          <w:color w:val="000000"/>
          <w:sz w:val="24"/>
          <w:szCs w:val="24"/>
        </w:rPr>
        <w:br/>
      </w:r>
      <w:proofErr w:type="gramStart"/>
      <w:r>
        <w:rPr>
          <w:i/>
          <w:iCs/>
          <w:color w:val="000000"/>
          <w:sz w:val="24"/>
          <w:szCs w:val="24"/>
        </w:rPr>
        <w:t>sürenin</w:t>
      </w:r>
      <w:proofErr w:type="gramEnd"/>
      <w:r>
        <w:rPr>
          <w:i/>
          <w:iCs/>
          <w:color w:val="000000"/>
          <w:sz w:val="24"/>
          <w:szCs w:val="24"/>
        </w:rPr>
        <w:t xml:space="preserve"> bittiği günden, ödeme yapmak amacıyla başvurulan güne kadar geçecek süre için</w:t>
      </w:r>
      <w:r>
        <w:rPr>
          <w:i/>
          <w:iCs/>
          <w:color w:val="000000"/>
          <w:sz w:val="24"/>
          <w:szCs w:val="24"/>
        </w:rPr>
        <w:br/>
        <w:t>Türkiye İstatistik Kurumunun her ay için belirlediği tüketici fiyatları endeksi (TÜFE) aylık</w:t>
      </w:r>
      <w:r>
        <w:rPr>
          <w:i/>
          <w:iCs/>
          <w:color w:val="000000"/>
          <w:sz w:val="24"/>
          <w:szCs w:val="24"/>
        </w:rPr>
        <w:br/>
        <w:t>değişim oranları toplamında artırılarak hesaplanır.</w:t>
      </w:r>
      <w:r w:rsidR="005941D8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sz w:val="24"/>
          <w:szCs w:val="24"/>
        </w:rPr>
        <w:t xml:space="preserve">Birinci fıkranın (b) bendi kapsamında kalanlar için satış bedeli; kendilerine yapılan </w:t>
      </w:r>
      <w:r>
        <w:rPr>
          <w:i/>
          <w:iCs/>
          <w:color w:val="000000"/>
          <w:sz w:val="24"/>
          <w:szCs w:val="24"/>
        </w:rPr>
        <w:t xml:space="preserve">tebligatta belirtilen ödeme süresinin son gününü izleyen günden, ödeme yapmak amacıyla </w:t>
      </w:r>
      <w:r>
        <w:rPr>
          <w:i/>
          <w:iCs/>
          <w:color w:val="000000"/>
          <w:spacing w:val="-1"/>
          <w:sz w:val="24"/>
          <w:szCs w:val="24"/>
        </w:rPr>
        <w:t xml:space="preserve">başvurulan güne kadar geçecek süre için Türkiye İstatistik Kurumunun her ay için belirlediği </w:t>
      </w:r>
      <w:r>
        <w:rPr>
          <w:i/>
          <w:iCs/>
          <w:color w:val="000000"/>
          <w:sz w:val="24"/>
          <w:szCs w:val="24"/>
        </w:rPr>
        <w:t>TÜFE aylık değişim oranları toplamında artırılarak hesaplanır.</w:t>
      </w:r>
    </w:p>
    <w:p w:rsidR="004841CF" w:rsidRDefault="004841CF" w:rsidP="004841CF">
      <w:pPr>
        <w:numPr>
          <w:ilvl w:val="0"/>
          <w:numId w:val="2"/>
        </w:numPr>
        <w:shd w:val="clear" w:color="auto" w:fill="FFFFFF"/>
        <w:tabs>
          <w:tab w:val="left" w:pos="1949"/>
        </w:tabs>
        <w:spacing w:line="269" w:lineRule="exact"/>
        <w:ind w:left="902" w:right="10" w:firstLine="720"/>
        <w:jc w:val="both"/>
        <w:rPr>
          <w:i/>
          <w:iCs/>
          <w:color w:val="000000"/>
          <w:spacing w:val="-11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İkinci ve üçüncü fıkralar uyarınca yapılacak hesaplamalarda ay kesirleri dikkate alınmaz ve yapılacak hesaplamalarda her yıl için aylık değişim oranları toplamının yıllık </w:t>
      </w:r>
      <w:r>
        <w:rPr>
          <w:i/>
          <w:iCs/>
          <w:color w:val="000000"/>
          <w:spacing w:val="-1"/>
          <w:sz w:val="24"/>
          <w:szCs w:val="24"/>
        </w:rPr>
        <w:t>kanuni faiz oranının iki katını geçmesi halinde geçen kısım hesaba katılmaz.</w:t>
      </w:r>
    </w:p>
    <w:p w:rsidR="004841CF" w:rsidRDefault="004841CF" w:rsidP="004841CF">
      <w:pPr>
        <w:shd w:val="clear" w:color="auto" w:fill="FFFFFF"/>
        <w:spacing w:line="269" w:lineRule="exact"/>
        <w:ind w:left="1613"/>
      </w:pPr>
      <w:proofErr w:type="gramStart"/>
      <w:r>
        <w:rPr>
          <w:color w:val="000000"/>
          <w:spacing w:val="-1"/>
          <w:sz w:val="24"/>
          <w:szCs w:val="24"/>
        </w:rPr>
        <w:t>hükmü</w:t>
      </w:r>
      <w:proofErr w:type="gramEnd"/>
      <w:r>
        <w:rPr>
          <w:color w:val="000000"/>
          <w:spacing w:val="-1"/>
          <w:sz w:val="24"/>
          <w:szCs w:val="24"/>
        </w:rPr>
        <w:t xml:space="preserve"> yer almaktadır.</w:t>
      </w:r>
    </w:p>
    <w:p w:rsidR="004841CF" w:rsidRDefault="004841CF" w:rsidP="004841CF">
      <w:pPr>
        <w:shd w:val="clear" w:color="auto" w:fill="FFFFFF"/>
        <w:spacing w:before="269" w:line="269" w:lineRule="exact"/>
        <w:ind w:left="902" w:right="19" w:firstLine="710"/>
        <w:jc w:val="both"/>
      </w:pPr>
      <w:r>
        <w:rPr>
          <w:color w:val="000000"/>
          <w:sz w:val="24"/>
          <w:szCs w:val="24"/>
        </w:rPr>
        <w:t>Buna göre, 2/B taşınmazlarının 6292 sayılı Kanun kapsamında ve Hazineye ait tarım arazilerinin 4706 ve 6292 sayılı Kanunlar kapsamında satışına ilişkin;</w:t>
      </w:r>
    </w:p>
    <w:p w:rsidR="004841CF" w:rsidRDefault="004841CF" w:rsidP="004841CF">
      <w:pPr>
        <w:numPr>
          <w:ilvl w:val="0"/>
          <w:numId w:val="3"/>
        </w:numPr>
        <w:shd w:val="clear" w:color="auto" w:fill="FFFFFF"/>
        <w:tabs>
          <w:tab w:val="left" w:pos="1862"/>
        </w:tabs>
        <w:spacing w:line="269" w:lineRule="exact"/>
        <w:ind w:left="1603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Süresi içinde başvuru yapmayanların başvuru süresi,</w:t>
      </w:r>
    </w:p>
    <w:p w:rsidR="004841CF" w:rsidRDefault="004841CF" w:rsidP="004841CF">
      <w:pPr>
        <w:numPr>
          <w:ilvl w:val="0"/>
          <w:numId w:val="3"/>
        </w:numPr>
        <w:shd w:val="clear" w:color="auto" w:fill="FFFFFF"/>
        <w:tabs>
          <w:tab w:val="left" w:pos="1862"/>
        </w:tabs>
        <w:spacing w:line="269" w:lineRule="exact"/>
        <w:ind w:left="902" w:right="19" w:firstLine="701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Kendilerine yapılan tebligatta belirtilen bedeli süresi içerisinde ödemeyenlerin ödeme </w:t>
      </w:r>
      <w:r>
        <w:rPr>
          <w:color w:val="000000"/>
          <w:sz w:val="24"/>
          <w:szCs w:val="24"/>
        </w:rPr>
        <w:t>süresi,</w:t>
      </w:r>
    </w:p>
    <w:p w:rsidR="004841CF" w:rsidRPr="004841CF" w:rsidRDefault="004841CF" w:rsidP="006F738E">
      <w:pPr>
        <w:numPr>
          <w:ilvl w:val="0"/>
          <w:numId w:val="3"/>
        </w:numPr>
        <w:shd w:val="clear" w:color="auto" w:fill="FFFFFF"/>
        <w:tabs>
          <w:tab w:val="left" w:pos="1862"/>
        </w:tabs>
        <w:spacing w:line="278" w:lineRule="exact"/>
        <w:ind w:left="902" w:right="19" w:firstLine="701"/>
        <w:jc w:val="both"/>
      </w:pPr>
      <w:r w:rsidRPr="004841CF">
        <w:rPr>
          <w:color w:val="000000"/>
          <w:sz w:val="24"/>
          <w:szCs w:val="24"/>
        </w:rPr>
        <w:t>Taksitli satışlarda, sözleşmesinde belirtilen taksitlerden ikiden fazlasını vadesinde ödemeyenlerin ödeme süresi,</w:t>
      </w:r>
      <w:r>
        <w:rPr>
          <w:color w:val="000000"/>
          <w:sz w:val="24"/>
          <w:szCs w:val="24"/>
        </w:rPr>
        <w:t xml:space="preserve"> </w:t>
      </w:r>
      <w:r w:rsidRPr="004841CF">
        <w:rPr>
          <w:color w:val="000000"/>
          <w:sz w:val="24"/>
          <w:szCs w:val="24"/>
        </w:rPr>
        <w:t xml:space="preserve">31 Aralık 2022 tarihine kadar uzatılmış olup. 31 Aralık 2022 tarihinden önce başvuru </w:t>
      </w:r>
      <w:r w:rsidRPr="004841CF">
        <w:rPr>
          <w:color w:val="000000"/>
          <w:spacing w:val="-2"/>
          <w:sz w:val="24"/>
          <w:szCs w:val="24"/>
        </w:rPr>
        <w:t xml:space="preserve">ve ödeme süresi sona eren tüm hak sahipleri bu </w:t>
      </w:r>
      <w:proofErr w:type="gramStart"/>
      <w:r w:rsidRPr="004841CF">
        <w:rPr>
          <w:color w:val="000000"/>
          <w:spacing w:val="-2"/>
          <w:sz w:val="24"/>
          <w:szCs w:val="24"/>
        </w:rPr>
        <w:t>imkandan</w:t>
      </w:r>
      <w:proofErr w:type="gramEnd"/>
      <w:r w:rsidRPr="004841CF">
        <w:rPr>
          <w:color w:val="000000"/>
          <w:spacing w:val="-2"/>
          <w:sz w:val="24"/>
          <w:szCs w:val="24"/>
        </w:rPr>
        <w:t xml:space="preserve"> yararlanarak 31 Aralık 2022 tarihine </w:t>
      </w:r>
      <w:r w:rsidRPr="004841CF">
        <w:rPr>
          <w:color w:val="000000"/>
          <w:sz w:val="24"/>
          <w:szCs w:val="24"/>
        </w:rPr>
        <w:t>kadar başvuru ve ödeme yapabilecektir.</w:t>
      </w:r>
    </w:p>
    <w:p w:rsidR="00D84DE8" w:rsidRDefault="00D84DE8" w:rsidP="00D84DE8">
      <w:pPr>
        <w:shd w:val="clear" w:color="auto" w:fill="FFFFFF"/>
        <w:tabs>
          <w:tab w:val="left" w:pos="1862"/>
        </w:tabs>
        <w:spacing w:line="278" w:lineRule="exact"/>
        <w:ind w:left="1603" w:right="19"/>
        <w:rPr>
          <w:color w:val="000000"/>
          <w:sz w:val="24"/>
          <w:szCs w:val="24"/>
        </w:rPr>
      </w:pPr>
    </w:p>
    <w:p w:rsidR="00CE26A0" w:rsidRDefault="00BA6342" w:rsidP="005941D8">
      <w:pPr>
        <w:shd w:val="clear" w:color="auto" w:fill="FFFFFF"/>
        <w:tabs>
          <w:tab w:val="left" w:pos="1862"/>
        </w:tabs>
        <w:spacing w:line="278" w:lineRule="exact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</w:t>
      </w:r>
      <w:r w:rsidR="00D84DE8">
        <w:rPr>
          <w:color w:val="000000"/>
          <w:sz w:val="24"/>
          <w:szCs w:val="24"/>
        </w:rPr>
        <w:t>Bu nedenle, aşağıda kullanıcı bilgileri verilen vatandaşlarımızın</w:t>
      </w:r>
      <w:r>
        <w:rPr>
          <w:color w:val="000000"/>
          <w:sz w:val="24"/>
          <w:szCs w:val="24"/>
        </w:rPr>
        <w:t xml:space="preserve"> (vefat eden vatandaşlarımızın mirasçılarının)</w:t>
      </w:r>
      <w:r w:rsidR="00D84DE8">
        <w:rPr>
          <w:color w:val="000000"/>
          <w:sz w:val="24"/>
          <w:szCs w:val="24"/>
        </w:rPr>
        <w:t xml:space="preserve"> ilgili Kanunlar gereğince 31 Aralık 2022 tarihinden önce Kavaklıdere Milli Emlak Şefliğine Başvuru ve ödeme yapılması gerekmektedir. Süresi içinde b</w:t>
      </w:r>
      <w:r w:rsidR="00CE26A0">
        <w:rPr>
          <w:color w:val="000000"/>
          <w:sz w:val="24"/>
          <w:szCs w:val="24"/>
        </w:rPr>
        <w:t>aşvuru ve ödeme yapmayan vatanda</w:t>
      </w:r>
      <w:r w:rsidR="00D84DE8">
        <w:rPr>
          <w:color w:val="000000"/>
          <w:sz w:val="24"/>
          <w:szCs w:val="24"/>
        </w:rPr>
        <w:t>şlarımızın doğrudan satın alma haklarının düşece</w:t>
      </w:r>
      <w:r w:rsidR="00CE26A0">
        <w:rPr>
          <w:color w:val="000000"/>
          <w:sz w:val="24"/>
          <w:szCs w:val="24"/>
        </w:rPr>
        <w:t>ktir.</w:t>
      </w:r>
    </w:p>
    <w:p w:rsidR="005941D8" w:rsidRDefault="005941D8" w:rsidP="005941D8">
      <w:pPr>
        <w:shd w:val="clear" w:color="auto" w:fill="FFFFFF"/>
        <w:tabs>
          <w:tab w:val="left" w:pos="1862"/>
        </w:tabs>
        <w:spacing w:line="278" w:lineRule="exact"/>
        <w:ind w:right="19"/>
        <w:jc w:val="both"/>
        <w:rPr>
          <w:color w:val="000000"/>
          <w:sz w:val="24"/>
          <w:szCs w:val="24"/>
        </w:rPr>
      </w:pPr>
    </w:p>
    <w:p w:rsidR="005941D8" w:rsidRDefault="005941D8" w:rsidP="005941D8">
      <w:pPr>
        <w:shd w:val="clear" w:color="auto" w:fill="FFFFFF"/>
        <w:tabs>
          <w:tab w:val="left" w:pos="1862"/>
        </w:tabs>
        <w:spacing w:line="278" w:lineRule="exact"/>
        <w:ind w:right="19"/>
        <w:jc w:val="both"/>
        <w:rPr>
          <w:color w:val="000000"/>
          <w:sz w:val="24"/>
          <w:szCs w:val="24"/>
        </w:rPr>
      </w:pPr>
    </w:p>
    <w:p w:rsidR="005941D8" w:rsidRDefault="005941D8" w:rsidP="005941D8">
      <w:pPr>
        <w:shd w:val="clear" w:color="auto" w:fill="FFFFFF"/>
        <w:tabs>
          <w:tab w:val="left" w:pos="1862"/>
        </w:tabs>
        <w:spacing w:line="278" w:lineRule="exact"/>
        <w:ind w:right="19"/>
        <w:jc w:val="both"/>
        <w:rPr>
          <w:color w:val="000000"/>
          <w:sz w:val="24"/>
          <w:szCs w:val="24"/>
        </w:rPr>
      </w:pPr>
    </w:p>
    <w:p w:rsidR="005941D8" w:rsidRDefault="005941D8" w:rsidP="005941D8">
      <w:pPr>
        <w:shd w:val="clear" w:color="auto" w:fill="FFFFFF"/>
        <w:tabs>
          <w:tab w:val="left" w:pos="1862"/>
        </w:tabs>
        <w:spacing w:line="278" w:lineRule="exact"/>
        <w:ind w:right="19"/>
        <w:jc w:val="both"/>
        <w:rPr>
          <w:color w:val="000000"/>
          <w:sz w:val="24"/>
          <w:szCs w:val="24"/>
        </w:rPr>
      </w:pPr>
    </w:p>
    <w:p w:rsidR="005941D8" w:rsidRDefault="005941D8" w:rsidP="005941D8">
      <w:pPr>
        <w:shd w:val="clear" w:color="auto" w:fill="FFFFFF"/>
        <w:tabs>
          <w:tab w:val="left" w:pos="1862"/>
        </w:tabs>
        <w:spacing w:line="278" w:lineRule="exact"/>
        <w:ind w:right="19"/>
        <w:jc w:val="both"/>
        <w:rPr>
          <w:color w:val="000000"/>
          <w:sz w:val="24"/>
          <w:szCs w:val="24"/>
        </w:rPr>
      </w:pPr>
    </w:p>
    <w:p w:rsidR="005941D8" w:rsidRDefault="005941D8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5941D8" w:rsidRDefault="005941D8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5941D8" w:rsidRDefault="005941D8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CE26A0" w:rsidRDefault="00CE26A0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CE26A0" w:rsidRPr="00EC11D4" w:rsidRDefault="005941D8" w:rsidP="00CE26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HAK SAHİPLİĞİ</w:t>
      </w:r>
      <w:r w:rsidR="00BA6342" w:rsidRPr="00EC11D4">
        <w:rPr>
          <w:b/>
          <w:bCs/>
          <w:sz w:val="32"/>
          <w:szCs w:val="32"/>
        </w:rPr>
        <w:t xml:space="preserve"> LİSTESİ</w:t>
      </w:r>
    </w:p>
    <w:p w:rsidR="00CE26A0" w:rsidRPr="00EC11D4" w:rsidRDefault="00CE26A0" w:rsidP="00CE26A0">
      <w:pPr>
        <w:jc w:val="both"/>
        <w:rPr>
          <w:b/>
          <w:bCs/>
          <w:sz w:val="32"/>
          <w:szCs w:val="32"/>
        </w:rPr>
      </w:pPr>
    </w:p>
    <w:p w:rsidR="00CE26A0" w:rsidRPr="00EC11D4" w:rsidRDefault="00CE26A0" w:rsidP="00CE26A0">
      <w:pPr>
        <w:tabs>
          <w:tab w:val="left" w:pos="2410"/>
        </w:tabs>
        <w:jc w:val="both"/>
        <w:rPr>
          <w:b/>
          <w:bCs/>
          <w:sz w:val="32"/>
          <w:szCs w:val="32"/>
        </w:rPr>
      </w:pPr>
      <w:r w:rsidRPr="00EC11D4">
        <w:rPr>
          <w:b/>
          <w:bCs/>
          <w:sz w:val="32"/>
          <w:szCs w:val="32"/>
        </w:rPr>
        <w:t>İLİ</w:t>
      </w:r>
      <w:r w:rsidRPr="00EC11D4">
        <w:rPr>
          <w:b/>
          <w:bCs/>
          <w:sz w:val="32"/>
          <w:szCs w:val="32"/>
        </w:rPr>
        <w:tab/>
        <w:t>: Muğla</w:t>
      </w:r>
    </w:p>
    <w:p w:rsidR="00CE26A0" w:rsidRPr="00EC11D4" w:rsidRDefault="00CE26A0" w:rsidP="00CE26A0">
      <w:pPr>
        <w:tabs>
          <w:tab w:val="left" w:pos="2410"/>
        </w:tabs>
        <w:jc w:val="both"/>
        <w:rPr>
          <w:b/>
          <w:bCs/>
          <w:sz w:val="32"/>
          <w:szCs w:val="32"/>
        </w:rPr>
      </w:pPr>
      <w:r w:rsidRPr="00EC11D4">
        <w:rPr>
          <w:b/>
          <w:bCs/>
          <w:sz w:val="32"/>
          <w:szCs w:val="32"/>
        </w:rPr>
        <w:t>İLÇESİ</w:t>
      </w:r>
      <w:r w:rsidRPr="00EC11D4">
        <w:rPr>
          <w:b/>
          <w:bCs/>
          <w:sz w:val="32"/>
          <w:szCs w:val="32"/>
        </w:rPr>
        <w:tab/>
        <w:t>: İlçesi</w:t>
      </w:r>
    </w:p>
    <w:p w:rsidR="00CE26A0" w:rsidRPr="00EC11D4" w:rsidRDefault="00CE26A0" w:rsidP="00CE26A0">
      <w:pPr>
        <w:tabs>
          <w:tab w:val="left" w:pos="2410"/>
        </w:tabs>
        <w:jc w:val="both"/>
        <w:rPr>
          <w:sz w:val="32"/>
          <w:szCs w:val="32"/>
        </w:rPr>
      </w:pPr>
      <w:r w:rsidRPr="00EC11D4">
        <w:rPr>
          <w:b/>
          <w:bCs/>
          <w:sz w:val="32"/>
          <w:szCs w:val="32"/>
        </w:rPr>
        <w:t>MAHALLESİ</w:t>
      </w:r>
      <w:r w:rsidRPr="00EC11D4">
        <w:rPr>
          <w:b/>
          <w:bCs/>
          <w:sz w:val="32"/>
          <w:szCs w:val="32"/>
        </w:rPr>
        <w:tab/>
        <w:t xml:space="preserve">: </w:t>
      </w:r>
      <w:r w:rsidR="00EC11D4">
        <w:rPr>
          <w:b/>
          <w:bCs/>
          <w:sz w:val="32"/>
          <w:szCs w:val="32"/>
        </w:rPr>
        <w:t>Nebiler</w:t>
      </w:r>
    </w:p>
    <w:p w:rsidR="00CE26A0" w:rsidRDefault="00CE26A0" w:rsidP="00CE26A0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53"/>
        <w:gridCol w:w="992"/>
        <w:gridCol w:w="1418"/>
        <w:gridCol w:w="1417"/>
        <w:gridCol w:w="1134"/>
        <w:gridCol w:w="1701"/>
        <w:gridCol w:w="1559"/>
      </w:tblGrid>
      <w:tr w:rsidR="00BA6342" w:rsidRPr="0025768B" w:rsidTr="00BA6342">
        <w:trPr>
          <w:trHeight w:val="990"/>
        </w:trPr>
        <w:tc>
          <w:tcPr>
            <w:tcW w:w="694" w:type="dxa"/>
            <w:shd w:val="clear" w:color="auto" w:fill="auto"/>
            <w:vAlign w:val="center"/>
          </w:tcPr>
          <w:p w:rsidR="00BA6342" w:rsidRPr="0025768B" w:rsidRDefault="00BA6342" w:rsidP="00D323B9">
            <w:pPr>
              <w:jc w:val="center"/>
              <w:rPr>
                <w:b/>
                <w:bCs/>
              </w:rPr>
            </w:pPr>
            <w:r w:rsidRPr="0025768B">
              <w:rPr>
                <w:b/>
                <w:bCs/>
              </w:rPr>
              <w:t>SIRA NO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A6342" w:rsidRPr="0025768B" w:rsidRDefault="00BA6342" w:rsidP="00D323B9">
            <w:pPr>
              <w:jc w:val="center"/>
              <w:rPr>
                <w:b/>
                <w:bCs/>
              </w:rPr>
            </w:pPr>
            <w:r w:rsidRPr="0025768B">
              <w:rPr>
                <w:b/>
                <w:bCs/>
              </w:rPr>
              <w:t xml:space="preserve">KULLANICININ </w:t>
            </w:r>
            <w:r w:rsidRPr="0025768B">
              <w:rPr>
                <w:b/>
                <w:bCs/>
              </w:rPr>
              <w:br/>
              <w:t>ADI-SOYADI</w:t>
            </w:r>
          </w:p>
        </w:tc>
        <w:tc>
          <w:tcPr>
            <w:tcW w:w="992" w:type="dxa"/>
            <w:vAlign w:val="center"/>
          </w:tcPr>
          <w:p w:rsidR="00BA6342" w:rsidRPr="0025768B" w:rsidRDefault="00BA6342" w:rsidP="00D32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 ADI</w:t>
            </w:r>
          </w:p>
        </w:tc>
        <w:tc>
          <w:tcPr>
            <w:tcW w:w="1418" w:type="dxa"/>
            <w:vAlign w:val="center"/>
          </w:tcPr>
          <w:p w:rsidR="00BA6342" w:rsidRPr="0025768B" w:rsidRDefault="00BA6342" w:rsidP="00D323B9">
            <w:pPr>
              <w:jc w:val="center"/>
              <w:rPr>
                <w:b/>
                <w:bCs/>
              </w:rPr>
            </w:pPr>
            <w:r w:rsidRPr="0025768B">
              <w:rPr>
                <w:b/>
                <w:bCs/>
              </w:rPr>
              <w:t>BABA ADI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342" w:rsidRPr="0025768B" w:rsidRDefault="00BA6342" w:rsidP="00BA63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 KİMLİK 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342" w:rsidRPr="0025768B" w:rsidRDefault="00BA6342" w:rsidP="00BA6342">
            <w:pPr>
              <w:rPr>
                <w:b/>
                <w:bCs/>
              </w:rPr>
            </w:pPr>
            <w:r>
              <w:rPr>
                <w:b/>
                <w:bCs/>
              </w:rPr>
              <w:t>ADA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6342" w:rsidRPr="0025768B" w:rsidRDefault="00BA6342" w:rsidP="00D32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PARSEL</w:t>
            </w:r>
          </w:p>
        </w:tc>
        <w:tc>
          <w:tcPr>
            <w:tcW w:w="1559" w:type="dxa"/>
          </w:tcPr>
          <w:p w:rsidR="00BA6342" w:rsidRDefault="00BA6342" w:rsidP="00D323B9">
            <w:pPr>
              <w:jc w:val="center"/>
              <w:rPr>
                <w:b/>
                <w:bCs/>
              </w:rPr>
            </w:pPr>
          </w:p>
          <w:p w:rsidR="00BA6342" w:rsidRPr="0025768B" w:rsidRDefault="00BA6342" w:rsidP="00D323B9">
            <w:pPr>
              <w:jc w:val="center"/>
              <w:rPr>
                <w:b/>
                <w:bCs/>
              </w:rPr>
            </w:pPr>
            <w:r w:rsidRPr="0025768B">
              <w:rPr>
                <w:b/>
                <w:bCs/>
              </w:rPr>
              <w:t>YÜZÖLÇÜMÜ (m</w:t>
            </w:r>
            <w:r w:rsidRPr="0025768B">
              <w:rPr>
                <w:b/>
                <w:bCs/>
                <w:vertAlign w:val="superscript"/>
              </w:rPr>
              <w:t>2</w:t>
            </w:r>
            <w:r w:rsidRPr="0025768B">
              <w:rPr>
                <w:b/>
                <w:bCs/>
              </w:rPr>
              <w:t>)</w:t>
            </w:r>
          </w:p>
        </w:tc>
      </w:tr>
      <w:tr w:rsidR="00BA6342" w:rsidRPr="00136DD4" w:rsidTr="00BA6342">
        <w:trPr>
          <w:trHeight w:val="330"/>
        </w:trPr>
        <w:tc>
          <w:tcPr>
            <w:tcW w:w="694" w:type="dxa"/>
            <w:shd w:val="clear" w:color="auto" w:fill="auto"/>
            <w:noWrap/>
          </w:tcPr>
          <w:p w:rsidR="00BA6342" w:rsidRPr="00136DD4" w:rsidRDefault="00BA6342" w:rsidP="00D323B9">
            <w:r w:rsidRPr="00136DD4">
              <w:t> </w:t>
            </w:r>
            <w:r>
              <w:t>1</w:t>
            </w:r>
          </w:p>
        </w:tc>
        <w:tc>
          <w:tcPr>
            <w:tcW w:w="1853" w:type="dxa"/>
            <w:shd w:val="clear" w:color="auto" w:fill="auto"/>
            <w:noWrap/>
          </w:tcPr>
          <w:p w:rsidR="00BA6342" w:rsidRPr="00136DD4" w:rsidRDefault="00BA6342" w:rsidP="00EC11D4">
            <w:r w:rsidRPr="00136DD4">
              <w:t> </w:t>
            </w:r>
            <w:r w:rsidR="00EC11D4">
              <w:t>Hüseyin ŞAHİN</w:t>
            </w:r>
          </w:p>
        </w:tc>
        <w:tc>
          <w:tcPr>
            <w:tcW w:w="992" w:type="dxa"/>
          </w:tcPr>
          <w:p w:rsidR="00BA6342" w:rsidRPr="00136DD4" w:rsidRDefault="00EC11D4" w:rsidP="00D323B9">
            <w:r>
              <w:t>Fatma</w:t>
            </w:r>
          </w:p>
        </w:tc>
        <w:tc>
          <w:tcPr>
            <w:tcW w:w="1418" w:type="dxa"/>
          </w:tcPr>
          <w:p w:rsidR="00BA6342" w:rsidRPr="00136DD4" w:rsidRDefault="00EC11D4" w:rsidP="00D323B9">
            <w:r>
              <w:t>Salih</w:t>
            </w:r>
          </w:p>
        </w:tc>
        <w:tc>
          <w:tcPr>
            <w:tcW w:w="1417" w:type="dxa"/>
            <w:shd w:val="clear" w:color="auto" w:fill="auto"/>
            <w:noWrap/>
          </w:tcPr>
          <w:p w:rsidR="00BA6342" w:rsidRPr="00136DD4" w:rsidRDefault="00BA6342" w:rsidP="00D323B9">
            <w:r w:rsidRPr="00136DD4">
              <w:t> </w:t>
            </w:r>
            <w:r w:rsidR="00EC11D4">
              <w:t>378</w:t>
            </w:r>
            <w:r>
              <w:t>******48</w:t>
            </w:r>
          </w:p>
        </w:tc>
        <w:tc>
          <w:tcPr>
            <w:tcW w:w="1134" w:type="dxa"/>
            <w:shd w:val="clear" w:color="auto" w:fill="auto"/>
            <w:noWrap/>
          </w:tcPr>
          <w:p w:rsidR="00BA6342" w:rsidRPr="00136DD4" w:rsidRDefault="00EC11D4" w:rsidP="00D323B9">
            <w:r>
              <w:t>301</w:t>
            </w:r>
          </w:p>
        </w:tc>
        <w:tc>
          <w:tcPr>
            <w:tcW w:w="1701" w:type="dxa"/>
            <w:shd w:val="clear" w:color="auto" w:fill="auto"/>
            <w:noWrap/>
          </w:tcPr>
          <w:p w:rsidR="00BA6342" w:rsidRPr="00136DD4" w:rsidRDefault="00BA6342" w:rsidP="00D323B9">
            <w:r>
              <w:t>1</w:t>
            </w:r>
          </w:p>
        </w:tc>
        <w:tc>
          <w:tcPr>
            <w:tcW w:w="1559" w:type="dxa"/>
          </w:tcPr>
          <w:p w:rsidR="00BA6342" w:rsidRPr="00136DD4" w:rsidRDefault="00EC11D4" w:rsidP="00D323B9">
            <w:r>
              <w:t>1.664,50</w:t>
            </w:r>
          </w:p>
        </w:tc>
      </w:tr>
    </w:tbl>
    <w:p w:rsidR="00CE26A0" w:rsidRDefault="00CE26A0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CE26A0" w:rsidRDefault="00CE26A0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CE26A0" w:rsidRDefault="00CE26A0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CE26A0" w:rsidRDefault="00CE26A0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CE26A0" w:rsidRDefault="00CE26A0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CE26A0" w:rsidRDefault="00CE26A0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CE26A0" w:rsidRDefault="00CE26A0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5941D8" w:rsidRDefault="005941D8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5941D8" w:rsidRDefault="005941D8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5941D8" w:rsidRDefault="005941D8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5941D8" w:rsidRDefault="005941D8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color w:val="000000"/>
          <w:sz w:val="24"/>
          <w:szCs w:val="24"/>
        </w:rPr>
      </w:pPr>
    </w:p>
    <w:p w:rsidR="00CE26A0" w:rsidRPr="005941D8" w:rsidRDefault="004B019C" w:rsidP="00EC11D4">
      <w:pPr>
        <w:shd w:val="clear" w:color="auto" w:fill="FFFFFF"/>
        <w:tabs>
          <w:tab w:val="left" w:pos="1862"/>
        </w:tabs>
        <w:spacing w:line="278" w:lineRule="exact"/>
        <w:ind w:right="1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31</w:t>
      </w:r>
      <w:bookmarkStart w:id="0" w:name="_GoBack"/>
      <w:bookmarkEnd w:id="0"/>
      <w:r w:rsidR="00EC11D4" w:rsidRPr="005941D8">
        <w:rPr>
          <w:b/>
          <w:color w:val="000000"/>
          <w:sz w:val="32"/>
          <w:szCs w:val="32"/>
        </w:rPr>
        <w:t>/05/2022</w:t>
      </w:r>
    </w:p>
    <w:p w:rsidR="00CE26A0" w:rsidRPr="005941D8" w:rsidRDefault="00CE26A0" w:rsidP="00D84DE8">
      <w:pPr>
        <w:shd w:val="clear" w:color="auto" w:fill="FFFFFF"/>
        <w:tabs>
          <w:tab w:val="left" w:pos="1862"/>
        </w:tabs>
        <w:spacing w:line="278" w:lineRule="exact"/>
        <w:ind w:right="19"/>
        <w:rPr>
          <w:b/>
          <w:color w:val="000000"/>
          <w:sz w:val="32"/>
          <w:szCs w:val="32"/>
        </w:rPr>
      </w:pPr>
    </w:p>
    <w:p w:rsidR="00D84DE8" w:rsidRPr="005941D8" w:rsidRDefault="00D84DE8" w:rsidP="00EC11D4">
      <w:pPr>
        <w:shd w:val="clear" w:color="auto" w:fill="FFFFFF"/>
        <w:tabs>
          <w:tab w:val="left" w:pos="1862"/>
        </w:tabs>
        <w:spacing w:line="278" w:lineRule="exact"/>
        <w:ind w:right="19"/>
        <w:jc w:val="center"/>
        <w:rPr>
          <w:b/>
          <w:color w:val="000000"/>
          <w:sz w:val="32"/>
          <w:szCs w:val="32"/>
        </w:rPr>
      </w:pPr>
      <w:r w:rsidRPr="005941D8">
        <w:rPr>
          <w:b/>
          <w:color w:val="000000"/>
          <w:sz w:val="32"/>
          <w:szCs w:val="32"/>
        </w:rPr>
        <w:t>İLANEN DUYURULUR</w:t>
      </w:r>
    </w:p>
    <w:sectPr w:rsidR="00D84DE8" w:rsidRPr="005941D8" w:rsidSect="004841CF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9C" w:rsidRDefault="0073439C" w:rsidP="00677722">
      <w:r>
        <w:separator/>
      </w:r>
    </w:p>
  </w:endnote>
  <w:endnote w:type="continuationSeparator" w:id="0">
    <w:p w:rsidR="0073439C" w:rsidRDefault="0073439C" w:rsidP="0067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13264"/>
      <w:docPartObj>
        <w:docPartGallery w:val="Page Numbers (Bottom of Page)"/>
        <w:docPartUnique/>
      </w:docPartObj>
    </w:sdtPr>
    <w:sdtEndPr/>
    <w:sdtContent>
      <w:sdt>
        <w:sdtPr>
          <w:id w:val="24687653"/>
          <w:docPartObj>
            <w:docPartGallery w:val="Page Numbers (Top of Page)"/>
            <w:docPartUnique/>
          </w:docPartObj>
        </w:sdtPr>
        <w:sdtEndPr/>
        <w:sdtContent>
          <w:p w:rsidR="00677722" w:rsidRDefault="00677722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1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1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7722" w:rsidRDefault="006777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9C" w:rsidRDefault="0073439C" w:rsidP="00677722">
      <w:r>
        <w:separator/>
      </w:r>
    </w:p>
  </w:footnote>
  <w:footnote w:type="continuationSeparator" w:id="0">
    <w:p w:rsidR="0073439C" w:rsidRDefault="0073439C" w:rsidP="0067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CF" w:rsidRDefault="004841CF" w:rsidP="004841CF">
    <w:pPr>
      <w:pStyle w:val="stbilgi"/>
      <w:tabs>
        <w:tab w:val="left" w:pos="7215"/>
        <w:tab w:val="center" w:pos="7852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4841CF" w:rsidRPr="00677722" w:rsidRDefault="004841CF" w:rsidP="004841CF">
    <w:pPr>
      <w:pStyle w:val="stbilgi"/>
      <w:tabs>
        <w:tab w:val="left" w:pos="7215"/>
        <w:tab w:val="center" w:pos="7852"/>
      </w:tabs>
      <w:rPr>
        <w:sz w:val="24"/>
        <w:szCs w:val="24"/>
      </w:rPr>
    </w:pPr>
  </w:p>
  <w:p w:rsidR="00677722" w:rsidRPr="00677722" w:rsidRDefault="00677722" w:rsidP="00677722">
    <w:pPr>
      <w:pStyle w:val="stbilgi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92E33"/>
    <w:multiLevelType w:val="singleLevel"/>
    <w:tmpl w:val="14AA3386"/>
    <w:lvl w:ilvl="0">
      <w:start w:val="2"/>
      <w:numFmt w:val="lowerLetter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>
    <w:nsid w:val="713C4B4E"/>
    <w:multiLevelType w:val="singleLevel"/>
    <w:tmpl w:val="70F4A470"/>
    <w:lvl w:ilvl="0">
      <w:start w:val="3"/>
      <w:numFmt w:val="decimal"/>
      <w:lvlText w:val="(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72493115"/>
    <w:multiLevelType w:val="singleLevel"/>
    <w:tmpl w:val="3F22893E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D2"/>
    <w:rsid w:val="000321AC"/>
    <w:rsid w:val="0003731F"/>
    <w:rsid w:val="000546D4"/>
    <w:rsid w:val="000719F8"/>
    <w:rsid w:val="000F1F22"/>
    <w:rsid w:val="00126124"/>
    <w:rsid w:val="00196914"/>
    <w:rsid w:val="001D0E4E"/>
    <w:rsid w:val="002256A0"/>
    <w:rsid w:val="0042751D"/>
    <w:rsid w:val="00461A84"/>
    <w:rsid w:val="004841CF"/>
    <w:rsid w:val="004A2D74"/>
    <w:rsid w:val="004B019C"/>
    <w:rsid w:val="004D37D2"/>
    <w:rsid w:val="005941D8"/>
    <w:rsid w:val="005B0995"/>
    <w:rsid w:val="00677722"/>
    <w:rsid w:val="0073439C"/>
    <w:rsid w:val="00767D2D"/>
    <w:rsid w:val="008D2256"/>
    <w:rsid w:val="00B60BD0"/>
    <w:rsid w:val="00BA6342"/>
    <w:rsid w:val="00CE26A0"/>
    <w:rsid w:val="00D557EC"/>
    <w:rsid w:val="00D84DE8"/>
    <w:rsid w:val="00EC11D4"/>
    <w:rsid w:val="00E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8224CB-AAA1-438A-AB10-118B34F4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75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51D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B60B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2D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rtabalkbold">
    <w:name w:val="ortabalkbold"/>
    <w:basedOn w:val="Normal"/>
    <w:rsid w:val="004A2D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777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77722"/>
  </w:style>
  <w:style w:type="paragraph" w:styleId="Altbilgi">
    <w:name w:val="footer"/>
    <w:basedOn w:val="Normal"/>
    <w:link w:val="AltbilgiChar"/>
    <w:uiPriority w:val="99"/>
    <w:unhideWhenUsed/>
    <w:rsid w:val="006777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EROGLU</dc:creator>
  <cp:keywords/>
  <dc:description/>
  <cp:lastModifiedBy>Hasan EROGLU</cp:lastModifiedBy>
  <cp:revision>4</cp:revision>
  <cp:lastPrinted>2022-05-31T09:00:00Z</cp:lastPrinted>
  <dcterms:created xsi:type="dcterms:W3CDTF">2022-05-31T06:38:00Z</dcterms:created>
  <dcterms:modified xsi:type="dcterms:W3CDTF">2022-06-20T13:17:00Z</dcterms:modified>
</cp:coreProperties>
</file>